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4A106"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b/>
          <w:bCs/>
          <w:sz w:val="22"/>
          <w:szCs w:val="22"/>
        </w:rPr>
        <w:t>Police, NZ Cricket, Avery win annual RiskNZ awards</w:t>
      </w:r>
    </w:p>
    <w:p w14:paraId="7B32427C"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b/>
          <w:bCs/>
          <w:sz w:val="22"/>
          <w:szCs w:val="22"/>
        </w:rPr>
        <w:t> </w:t>
      </w:r>
      <w:r>
        <w:rPr>
          <w:rFonts w:ascii="Calibri" w:hAnsi="Calibri" w:cs="Calibri"/>
          <w:b/>
          <w:bCs/>
          <w:color w:val="2C2C21"/>
          <w:sz w:val="22"/>
          <w:szCs w:val="22"/>
        </w:rPr>
        <w:t>August 21, 2017</w:t>
      </w:r>
    </w:p>
    <w:p w14:paraId="522D910C"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color w:val="004477"/>
          <w:sz w:val="22"/>
          <w:szCs w:val="22"/>
        </w:rPr>
        <w:t> </w:t>
      </w:r>
    </w:p>
    <w:p w14:paraId="392258E5"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xml:space="preserve">New Zealand Police and New Zealand Cricket have been honoured at </w:t>
      </w:r>
      <w:proofErr w:type="spellStart"/>
      <w:r>
        <w:rPr>
          <w:rFonts w:ascii="Calibri" w:hAnsi="Calibri" w:cs="Calibri"/>
          <w:sz w:val="22"/>
          <w:szCs w:val="22"/>
        </w:rPr>
        <w:t>RiskNZ’s</w:t>
      </w:r>
      <w:proofErr w:type="spellEnd"/>
      <w:r>
        <w:rPr>
          <w:rFonts w:ascii="Calibri" w:hAnsi="Calibri" w:cs="Calibri"/>
          <w:sz w:val="22"/>
          <w:szCs w:val="22"/>
        </w:rPr>
        <w:t xml:space="preserve"> annual awards for their exemplary efforts in managing and mitigating risk management.</w:t>
      </w:r>
    </w:p>
    <w:p w14:paraId="75B9135E"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Grant Avery, a highly qualified risk advisor who is currently helping the Treasury, won</w:t>
      </w:r>
      <w:r>
        <w:rPr>
          <w:rFonts w:ascii="Calibri" w:hAnsi="Calibri" w:cs="Calibri"/>
          <w:color w:val="2C2C21"/>
          <w:sz w:val="22"/>
          <w:szCs w:val="22"/>
        </w:rPr>
        <w:t xml:space="preserve"> the Risk Management Professional of the Year. </w:t>
      </w:r>
    </w:p>
    <w:p w14:paraId="5828F69B"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color w:val="2C2C21"/>
          <w:sz w:val="22"/>
          <w:szCs w:val="22"/>
        </w:rPr>
        <w:t> Cricket, the police and Avery’s achievements relate to risk management activity in New Zealand and their awards recognises the way they demonstrated excellent risk management qualities.</w:t>
      </w:r>
    </w:p>
    <w:p w14:paraId="36898315"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NZ Cricket was recognised as an exemplar of highly effective risk management that can be held up as a role model for other sports and member based organisations.</w:t>
      </w:r>
    </w:p>
    <w:p w14:paraId="5476903F"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RiskNZ chief executive Tim Jago says NZ Cricket has looked for best-practice approaches to risk management, and enhancing player and employee health and safety.</w:t>
      </w:r>
    </w:p>
    <w:p w14:paraId="6388B5FF"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xml:space="preserve"> “In the last year NZ Cricket has invested significantly in a highly structured and innovative programme to drive all-encompassing risk management at a whole of sport level. It has tied a risk register to its strategic plan, so that the risk register is much more than operationally focused. </w:t>
      </w:r>
    </w:p>
    <w:p w14:paraId="0EBAF42C"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xml:space="preserve"> “Risk now sits as item No.1 on the monthly board and senior leadership team agendas. NZC now employs a risk manager.  NZ Cricket is recognised for exemplary performance and achievement developing an organisation-wide risk management framework, and sport-wide health and safety framework.” </w:t>
      </w:r>
    </w:p>
    <w:p w14:paraId="3535EB1E"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The police force was honoured for its excellence in developing capability in risk management.</w:t>
      </w:r>
    </w:p>
    <w:p w14:paraId="70899B0A"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In recent years the police have adopting an enterprise-wide risk management system and created a position for a chief risk officer.</w:t>
      </w:r>
    </w:p>
    <w:p w14:paraId="6A0DB0DD"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xml:space="preserve"> “The organisation moved to make risk everyone’s responsibility. It adopted the three lines of defence model,” Jago says. </w:t>
      </w:r>
    </w:p>
    <w:p w14:paraId="2A46ED39"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“Everyone acts as the first line of defence. District, service centre and national office work group managers provide the second line. The third line of defence comes from internal audit, and the external assurance and risk committee.</w:t>
      </w:r>
    </w:p>
    <w:p w14:paraId="7E075C80"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“From a position of inconsistent and poorly integrated risk management the NZ Police have successfully transformed to now having very highly regarded enterprise wide risk management performance. Attitudinal changes, investment in training and resources, and high-level risk governance has positioned NZ Police as a role model for effective practical risk management.”</w:t>
      </w:r>
    </w:p>
    <w:p w14:paraId="7B748E90"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Risk Management Professional of the Year</w:t>
      </w:r>
    </w:p>
    <w:p w14:paraId="418E1217"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lastRenderedPageBreak/>
        <w:t xml:space="preserve">Risk management professional of the year Grant Avery has been consulting to and contracting with major government entities in New Zealand, Australia and the UK, as well as to and for multi-national consultancies. </w:t>
      </w:r>
    </w:p>
    <w:p w14:paraId="0258C5DD"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He is a member of the NZ All of Government (</w:t>
      </w:r>
      <w:proofErr w:type="spellStart"/>
      <w:r>
        <w:rPr>
          <w:rFonts w:ascii="Calibri" w:hAnsi="Calibri" w:cs="Calibri"/>
          <w:sz w:val="22"/>
          <w:szCs w:val="22"/>
        </w:rPr>
        <w:t>AoG</w:t>
      </w:r>
      <w:proofErr w:type="spellEnd"/>
      <w:r>
        <w:rPr>
          <w:rFonts w:ascii="Calibri" w:hAnsi="Calibri" w:cs="Calibri"/>
          <w:sz w:val="22"/>
          <w:szCs w:val="22"/>
        </w:rPr>
        <w:t xml:space="preserve">) government chief information officers’ assurance services sub-panel specializing in projects, programmes and portfolios risk and assurance. </w:t>
      </w:r>
    </w:p>
    <w:p w14:paraId="22AB6A08"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xml:space="preserve"> “Grant </w:t>
      </w:r>
      <w:r>
        <w:rPr>
          <w:rFonts w:ascii="Calibri" w:hAnsi="Calibri" w:cs="Calibri"/>
          <w:color w:val="000000"/>
          <w:sz w:val="22"/>
          <w:szCs w:val="22"/>
          <w:shd w:val="clear" w:color="auto" w:fill="FFFFFF"/>
        </w:rPr>
        <w:t>exhibits an exceedingly strong commitment to personal professional development and attaining qualifications and endorsements authenticating their credentials to work in high stakes – high risk settings. His record of professional development over the past decade is impressive.”</w:t>
      </w:r>
    </w:p>
    <w:p w14:paraId="250F77F9"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b/>
          <w:bCs/>
          <w:sz w:val="22"/>
          <w:szCs w:val="22"/>
        </w:rPr>
        <w:t> </w:t>
      </w:r>
      <w:bookmarkStart w:id="0" w:name="_GoBack"/>
      <w:bookmarkEnd w:id="0"/>
    </w:p>
    <w:p w14:paraId="5D7A4560"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b/>
          <w:bCs/>
          <w:sz w:val="22"/>
          <w:szCs w:val="22"/>
        </w:rPr>
        <w:t>For further information contact</w:t>
      </w:r>
      <w:r>
        <w:rPr>
          <w:rFonts w:ascii="Calibri" w:hAnsi="Calibri" w:cs="Calibri"/>
          <w:sz w:val="22"/>
          <w:szCs w:val="22"/>
        </w:rPr>
        <w:t xml:space="preserve"> RiskNZ chief executive Tim Jago on 021 08240694 or Make Lemonade editor-in-chief Kip Brook on 0275 030188.</w:t>
      </w:r>
    </w:p>
    <w:p w14:paraId="36C45D60" w14:textId="77777777" w:rsidR="00F57D02" w:rsidRDefault="00F57D02" w:rsidP="00F57D02">
      <w:pPr>
        <w:spacing w:before="100" w:beforeAutospacing="1" w:after="100" w:afterAutospacing="1"/>
        <w:rPr>
          <w:rFonts w:ascii="Calibri" w:hAnsi="Calibri" w:cs="Calibri"/>
          <w:sz w:val="22"/>
          <w:szCs w:val="22"/>
        </w:rPr>
      </w:pPr>
      <w:r>
        <w:rPr>
          <w:rFonts w:ascii="Calibri" w:hAnsi="Calibri" w:cs="Calibri"/>
          <w:sz w:val="22"/>
          <w:szCs w:val="22"/>
        </w:rPr>
        <w:t> </w:t>
      </w:r>
    </w:p>
    <w:p w14:paraId="263EFC20" w14:textId="77777777" w:rsidR="00333C67" w:rsidRDefault="00F71745"/>
    <w:sectPr w:rsidR="00333C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D02"/>
    <w:rsid w:val="00032077"/>
    <w:rsid w:val="008F182A"/>
    <w:rsid w:val="00A77F09"/>
    <w:rsid w:val="00F57D02"/>
    <w:rsid w:val="00F7174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429B3"/>
  <w15:chartTrackingRefBased/>
  <w15:docId w15:val="{AB1D757D-A239-43E5-BD2A-2850D9769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7D02"/>
    <w:pPr>
      <w:spacing w:after="0" w:line="240" w:lineRule="auto"/>
    </w:pPr>
    <w:rPr>
      <w:rFonts w:ascii="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52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2804</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Jago</dc:creator>
  <cp:keywords/>
  <dc:description/>
  <cp:lastModifiedBy>Meg Jennings</cp:lastModifiedBy>
  <cp:revision>2</cp:revision>
  <dcterms:created xsi:type="dcterms:W3CDTF">2017-08-23T23:22:00Z</dcterms:created>
  <dcterms:modified xsi:type="dcterms:W3CDTF">2017-08-23T23:22:00Z</dcterms:modified>
</cp:coreProperties>
</file>